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SCENARIO PACKAGE GS-8</w:t>
      </w:r>
    </w:p>
    <w:p>
      <w:pPr>
        <w:spacing w:after="120"/>
      </w:pPr>
      <w:r>
        <w:rPr>
          <w:rFonts w:ascii="Calibri" w:cs="Calibri" w:eastAsia="Calibri" w:hAnsi="Calibri"/>
          <w:b/>
          <w:bCs/>
          <w:color w:val="1F3864"/>
          <w:sz w:val="52"/>
          <w:szCs w:val="52"/>
        </w:rPr>
        <w:t xml:space="preserve">Pandemic Disruption</w:t>
      </w:r>
    </w:p>
    <w:p>
      <w:pPr>
        <w:spacing w:after="100"/>
      </w:pPr>
      <w:r>
        <w:rPr>
          <w:rFonts w:ascii="Calibri" w:cs="Calibri" w:eastAsia="Calibri" w:hAnsi="Calibri"/>
          <w:color w:val="595959"/>
          <w:sz w:val="24"/>
          <w:szCs w:val="24"/>
        </w:rPr>
        <w:t xml:space="preserve">Public Health Emergency — Business Response Focus</w:t>
      </w:r>
    </w:p>
    <w:p>
      <w:pPr>
        <w:pBdr>
          <w:bottom w:val="single" w:color="2E74B5" w:sz="8" w:space="6"/>
        </w:pBdr>
        <w:spacing w:after="80"/>
      </w:pPr>
      <w:r>
        <w:rPr>
          <w:rFonts w:ascii="Calibri" w:cs="Calibri" w:eastAsia="Calibri" w:hAnsi="Calibri"/>
          <w:color w:val="595959"/>
          <w:sz w:val="20"/>
          <w:szCs w:val="20"/>
        </w:rPr>
        <w:t xml:space="preserve">Industry: General / Industry-Agnostic  |  Duration: 2–3 Hours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Scenario Overview</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Threat category</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Pandemic / Public Health Disruption</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response focus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Workforce reduction response, remote operations, supply chain cascading effects, employee safety, and sustained disruption management — decision-making, communication, and coordination, not technical response.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Duration</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2–3 hours (3 modules + hot wash)</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Recommended participants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CEO/COO, CFO, HR Director, Operations, IT, Facilities, Legal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decisions tested</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Remote work activation, essential vs. non-essential functions, employee health policies, service continuity, supply chain adaptation</w:t>
            </w:r>
          </w:p>
        </w:tc>
      </w:tr>
    </w:tbl>
    <w:p>
      <w:pPr>
        <w:pStyle w:val="Heading1"/>
        <w:keepNext/>
        <w:spacing w:after="140" w:before="320"/>
      </w:pPr>
      <w:r>
        <w:rPr>
          <w:rFonts w:ascii="Calibri" w:cs="Calibri" w:eastAsia="Calibri" w:hAnsi="Calibri"/>
          <w:b/>
          <w:bCs/>
          <w:color w:val="1F3864"/>
          <w:sz w:val="30"/>
          <w:szCs w:val="30"/>
        </w:rPr>
        <w:t xml:space="preserve">Scenario Narrative</w:t>
      </w:r>
    </w:p>
    <w:p>
      <w:pPr>
        <w:pStyle w:val="Heading2"/>
        <w:keepNext/>
        <w:spacing w:after="110" w:before="240"/>
      </w:pPr>
      <w:r>
        <w:rPr>
          <w:rFonts w:ascii="Calibri" w:cs="Calibri" w:eastAsia="Calibri" w:hAnsi="Calibri"/>
          <w:b/>
          <w:bCs/>
          <w:color w:val="2E74B5"/>
          <w:sz w:val="25"/>
          <w:szCs w:val="25"/>
        </w:rPr>
        <w:t xml:space="preserve">Background</w:t>
      </w:r>
    </w:p>
    <w:p>
      <w:pPr>
        <w:spacing w:after="120" w:before="0" w:line="276"/>
      </w:pPr>
      <w:r>
        <w:rPr>
          <w:rFonts w:ascii="Calibri" w:cs="Calibri" w:eastAsia="Calibri" w:hAnsi="Calibri"/>
          <w:color w:val="404040"/>
          <w:sz w:val="21"/>
          <w:szCs w:val="21"/>
        </w:rPr>
        <w:t xml:space="preserve">[ORGANIZATION NAME] employs [CUSTOMIZE: number] people, primarily at [CUSTOMIZE: location description]. Approximately [CUSTOMIZE: X%] of employees perform functions that require on-premises presence. The organization’s remote work capability is [CUSTOMIZE: well-established / limited / minimal]. Key supply chain relationships include [CUSTOMIZE: 2–3 critical vendors/suppliers].</w:t>
      </w:r>
    </w:p>
    <w:p>
      <w:pPr>
        <w:spacing w:after="120" w:before="0" w:line="276"/>
      </w:pPr>
      <w:r>
        <w:rPr>
          <w:rFonts w:ascii="Calibri" w:cs="Calibri" w:eastAsia="Calibri" w:hAnsi="Calibri"/>
          <w:color w:val="404040"/>
          <w:sz w:val="21"/>
          <w:szCs w:val="21"/>
        </w:rPr>
        <w:t xml:space="preserve">A new respiratory illness has emerged in the region over the past two weeks. Local health authorities have reported a sharp increase in cases. The illness is highly contagious with a 2–3 day incubation period. While mortality is low, it causes severe symptoms lasting 7–14 days. Today, health authorities issue guidance recommending that organizations “minimize in-person gatherings and prepare for potential workforce reductions of 20–40% over the next 4–6 weeks.”</w:t>
      </w:r>
    </w:p>
    <w:p>
      <w:pPr>
        <w:pStyle w:val="Heading2"/>
        <w:keepNext/>
        <w:spacing w:after="110" w:before="240"/>
      </w:pPr>
      <w:r>
        <w:rPr>
          <w:rFonts w:ascii="Calibri" w:cs="Calibri" w:eastAsia="Calibri" w:hAnsi="Calibri"/>
          <w:b/>
          <w:bCs/>
          <w:color w:val="2E74B5"/>
          <w:sz w:val="25"/>
          <w:szCs w:val="25"/>
        </w:rPr>
        <w:t xml:space="preserve">Module 1: Initial Response (25–30 minutes)</w:t>
      </w:r>
    </w:p>
    <w:p>
      <w:pPr>
        <w:spacing w:after="120" w:before="0" w:line="276"/>
      </w:pPr>
      <w:r>
        <w:rPr>
          <w:rFonts w:ascii="Calibri" w:cs="Calibri" w:eastAsia="Calibri" w:hAnsi="Calibri"/>
          <w:color w:val="404040"/>
          <w:sz w:val="21"/>
          <w:szCs w:val="21"/>
        </w:rPr>
        <w:t xml:space="preserve">The advisory gives you a number — 20–40% of the workforce out over the coming weeks — and a deadline of now. Module 1 tests whether the policy, precedent, and authority exist to act today.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What is your remote work policy? Can you activate it for the entire organization today?</w:t>
      </w:r>
    </w:p>
    <w:p>
      <w:pPr>
        <w:pStyle w:val="ListParagraph"/>
        <w:numPr>
          <w:ilvl w:val="0"/>
          <w:numId w:val="2"/>
        </w:numPr>
        <w:spacing w:after="80" w:line="276"/>
      </w:pPr>
      <w:r>
        <w:rPr>
          <w:rFonts w:ascii="Calibri" w:cs="Calibri" w:eastAsia="Calibri" w:hAnsi="Calibri"/>
          <w:color w:val="404040"/>
          <w:sz w:val="21"/>
          <w:szCs w:val="21"/>
        </w:rPr>
        <w:t xml:space="preserve">How do you define essential vs. non-essential functions? Who makes that determination?</w:t>
      </w:r>
    </w:p>
    <w:p>
      <w:pPr>
        <w:pStyle w:val="ListParagraph"/>
        <w:numPr>
          <w:ilvl w:val="0"/>
          <w:numId w:val="2"/>
        </w:numPr>
        <w:spacing w:after="80" w:line="276"/>
      </w:pPr>
      <w:r>
        <w:rPr>
          <w:rFonts w:ascii="Calibri" w:cs="Calibri" w:eastAsia="Calibri" w:hAnsi="Calibri"/>
          <w:color w:val="404040"/>
          <w:sz w:val="21"/>
          <w:szCs w:val="21"/>
        </w:rPr>
        <w:t xml:space="preserve">What is your legal obligation to employees who cannot work remotely and are afraid to come in?</w:t>
      </w:r>
    </w:p>
    <w:p>
      <w:pPr>
        <w:pStyle w:val="ListParagraph"/>
        <w:numPr>
          <w:ilvl w:val="0"/>
          <w:numId w:val="2"/>
        </w:numPr>
        <w:spacing w:after="80" w:line="276"/>
      </w:pPr>
      <w:r>
        <w:rPr>
          <w:rFonts w:ascii="Calibri" w:cs="Calibri" w:eastAsia="Calibri" w:hAnsi="Calibri"/>
          <w:color w:val="404040"/>
          <w:sz w:val="21"/>
          <w:szCs w:val="21"/>
        </w:rPr>
        <w:t xml:space="preserve">If 30% of your workforce is out simultaneously, which functions break first?</w:t>
      </w:r>
    </w:p>
    <w:p>
      <w:pPr>
        <w:pStyle w:val="ListParagraph"/>
        <w:numPr>
          <w:ilvl w:val="0"/>
          <w:numId w:val="2"/>
        </w:numPr>
        <w:spacing w:after="80" w:line="276"/>
      </w:pPr>
      <w:r>
        <w:rPr>
          <w:rFonts w:ascii="Calibri" w:cs="Calibri" w:eastAsia="Calibri" w:hAnsi="Calibri"/>
          <w:color w:val="404040"/>
          <w:sz w:val="21"/>
          <w:szCs w:val="21"/>
        </w:rPr>
        <w:t xml:space="preserve">What do you communicate to all staff by end of day, and who sends it?</w:t>
      </w:r>
    </w:p>
    <w:p>
      <w:pPr>
        <w:pStyle w:val="Heading2"/>
        <w:keepNext/>
        <w:spacing w:after="110" w:before="240"/>
      </w:pPr>
      <w:r>
        <w:rPr>
          <w:rFonts w:ascii="Calibri" w:cs="Calibri" w:eastAsia="Calibri" w:hAnsi="Calibri"/>
          <w:b/>
          <w:bCs/>
          <w:color w:val="2E74B5"/>
          <w:sz w:val="25"/>
          <w:szCs w:val="25"/>
        </w:rPr>
        <w:t xml:space="preserve">Module 2: Sustained Disruption (25–30 minutes)</w:t>
      </w:r>
    </w:p>
    <w:p>
      <w:pPr>
        <w:spacing w:after="120" w:before="0" w:line="276"/>
      </w:pPr>
      <w:r>
        <w:rPr>
          <w:rFonts w:ascii="Calibri" w:cs="Calibri" w:eastAsia="Calibri" w:hAnsi="Calibri"/>
          <w:color w:val="404040"/>
          <w:sz w:val="21"/>
          <w:szCs w:val="21"/>
        </w:rPr>
        <w:t xml:space="preserve">Two weeks in, this is no longer an event but an operating condition: a quarter of the workforce out, systems straining, suppliers wobbling. Module 2 tests endurance decisions — people, clients, and cash.</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How do you handle the symptomatic employee who can’t afford to stay home? What policies guide this?</w:t>
      </w:r>
    </w:p>
    <w:p>
      <w:pPr>
        <w:pStyle w:val="ListParagraph"/>
        <w:numPr>
          <w:ilvl w:val="0"/>
          <w:numId w:val="2"/>
        </w:numPr>
        <w:spacing w:after="80" w:line="276"/>
      </w:pPr>
      <w:r>
        <w:rPr>
          <w:rFonts w:ascii="Calibri" w:cs="Calibri" w:eastAsia="Calibri" w:hAnsi="Calibri"/>
          <w:color w:val="404040"/>
          <w:sz w:val="21"/>
          <w:szCs w:val="21"/>
        </w:rPr>
        <w:t xml:space="preserve">Your supply chain is disrupted. What leverage do you have with suppliers? What alternatives exist?</w:t>
      </w:r>
    </w:p>
    <w:p>
      <w:pPr>
        <w:pStyle w:val="ListParagraph"/>
        <w:numPr>
          <w:ilvl w:val="0"/>
          <w:numId w:val="2"/>
        </w:numPr>
        <w:spacing w:after="80" w:line="276"/>
      </w:pPr>
      <w:r>
        <w:rPr>
          <w:rFonts w:ascii="Calibri" w:cs="Calibri" w:eastAsia="Calibri" w:hAnsi="Calibri"/>
          <w:color w:val="404040"/>
          <w:sz w:val="21"/>
          <w:szCs w:val="21"/>
        </w:rPr>
        <w:t xml:space="preserve">At what point do you reduce services, delay commitments, or communicate limitations to clients?</w:t>
      </w:r>
    </w:p>
    <w:p>
      <w:pPr>
        <w:pStyle w:val="ListParagraph"/>
        <w:numPr>
          <w:ilvl w:val="0"/>
          <w:numId w:val="2"/>
        </w:numPr>
        <w:spacing w:after="80" w:line="276"/>
      </w:pPr>
      <w:r>
        <w:rPr>
          <w:rFonts w:ascii="Calibri" w:cs="Calibri" w:eastAsia="Calibri" w:hAnsi="Calibri"/>
          <w:color w:val="404040"/>
          <w:sz w:val="21"/>
          <w:szCs w:val="21"/>
        </w:rPr>
        <w:t xml:space="preserve">What is the financial runway? How many weeks of reduced revenue and increased costs can you sustain?</w:t>
      </w:r>
    </w:p>
    <w:p>
      <w:pPr>
        <w:pStyle w:val="ListParagraph"/>
        <w:numPr>
          <w:ilvl w:val="0"/>
          <w:numId w:val="2"/>
        </w:numPr>
        <w:spacing w:after="80" w:line="276"/>
      </w:pPr>
      <w:r>
        <w:rPr>
          <w:rFonts w:ascii="Calibri" w:cs="Calibri" w:eastAsia="Calibri" w:hAnsi="Calibri"/>
          <w:color w:val="404040"/>
          <w:sz w:val="21"/>
          <w:szCs w:val="21"/>
        </w:rPr>
        <w:t xml:space="preserve">Which client commitments do you renegotiate first, and what do you say?</w:t>
      </w:r>
    </w:p>
    <w:p>
      <w:pPr>
        <w:pStyle w:val="Heading2"/>
        <w:keepNext/>
        <w:spacing w:after="110" w:before="240"/>
      </w:pPr>
      <w:r>
        <w:rPr>
          <w:rFonts w:ascii="Calibri" w:cs="Calibri" w:eastAsia="Calibri" w:hAnsi="Calibri"/>
          <w:b/>
          <w:bCs/>
          <w:color w:val="2E74B5"/>
          <w:sz w:val="25"/>
          <w:szCs w:val="25"/>
        </w:rPr>
        <w:t xml:space="preserve">Module 3: Recovery Planning (20–25 minutes)</w:t>
      </w:r>
    </w:p>
    <w:p>
      <w:pPr>
        <w:spacing w:after="120" w:before="0" w:line="276"/>
      </w:pPr>
      <w:r>
        <w:rPr>
          <w:rFonts w:ascii="Calibri" w:cs="Calibri" w:eastAsia="Calibri" w:hAnsi="Calibri"/>
          <w:color w:val="404040"/>
          <w:sz w:val="21"/>
          <w:szCs w:val="21"/>
        </w:rPr>
        <w:t xml:space="preserve">The peak has passed and the costs are countable — including two resignations. Module 3 tests what the organization changes before the likely second wave arrives.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What worked during the response? What would you do differently?</w:t>
      </w:r>
    </w:p>
    <w:p>
      <w:pPr>
        <w:pStyle w:val="ListParagraph"/>
        <w:numPr>
          <w:ilvl w:val="0"/>
          <w:numId w:val="2"/>
        </w:numPr>
        <w:spacing w:after="80" w:line="276"/>
      </w:pPr>
      <w:r>
        <w:rPr>
          <w:rFonts w:ascii="Calibri" w:cs="Calibri" w:eastAsia="Calibri" w:hAnsi="Calibri"/>
          <w:color w:val="404040"/>
          <w:sz w:val="21"/>
          <w:szCs w:val="21"/>
        </w:rPr>
        <w:t xml:space="preserve">Two employees resigned over how this was handled. What does that tell you?</w:t>
      </w:r>
    </w:p>
    <w:p>
      <w:pPr>
        <w:pStyle w:val="ListParagraph"/>
        <w:numPr>
          <w:ilvl w:val="0"/>
          <w:numId w:val="2"/>
        </w:numPr>
        <w:spacing w:after="80" w:line="276"/>
      </w:pPr>
      <w:r>
        <w:rPr>
          <w:rFonts w:ascii="Calibri" w:cs="Calibri" w:eastAsia="Calibri" w:hAnsi="Calibri"/>
          <w:color w:val="404040"/>
          <w:sz w:val="21"/>
          <w:szCs w:val="21"/>
        </w:rPr>
        <w:t xml:space="preserve">You have 3–4 months before the next wave. What is your preparation plan?</w:t>
      </w:r>
    </w:p>
    <w:p>
      <w:pPr>
        <w:pStyle w:val="ListParagraph"/>
        <w:numPr>
          <w:ilvl w:val="0"/>
          <w:numId w:val="2"/>
        </w:numPr>
        <w:spacing w:after="80" w:line="276"/>
      </w:pPr>
      <w:r>
        <w:rPr>
          <w:rFonts w:ascii="Calibri" w:cs="Calibri" w:eastAsia="Calibri" w:hAnsi="Calibri"/>
          <w:color w:val="404040"/>
          <w:sz w:val="21"/>
          <w:szCs w:val="21"/>
        </w:rPr>
        <w:t xml:space="preserve">What permanent changes to your operating model would make you more resilient to future disruptions?</w:t>
      </w:r>
    </w:p>
    <w:p>
      <w:pPr>
        <w:pStyle w:val="ListParagraph"/>
        <w:numPr>
          <w:ilvl w:val="0"/>
          <w:numId w:val="2"/>
        </w:numPr>
        <w:spacing w:after="80" w:line="276"/>
      </w:pPr>
      <w:r>
        <w:rPr>
          <w:rFonts w:ascii="Calibri" w:cs="Calibri" w:eastAsia="Calibri" w:hAnsi="Calibri"/>
          <w:color w:val="404040"/>
          <w:sz w:val="21"/>
          <w:szCs w:val="21"/>
        </w:rPr>
        <w:t xml:space="preserve">Does this experience change how you think about remote work, cross-training, or supply chain diversification permanently?</w:t>
      </w:r>
    </w:p>
    <w:p>
      <w:r>
        <w:br w:type="page"/>
      </w:r>
    </w:p>
    <w:p>
      <w:pPr>
        <w:pStyle w:val="Heading1"/>
        <w:keepNext/>
        <w:spacing w:after="140" w:before="320"/>
      </w:pPr>
      <w:r>
        <w:rPr>
          <w:rFonts w:ascii="Calibri" w:cs="Calibri" w:eastAsia="Calibri" w:hAnsi="Calibri"/>
          <w:b/>
          <w:bCs/>
          <w:color w:val="1F3864"/>
          <w:sz w:val="30"/>
          <w:szCs w:val="30"/>
        </w:rPr>
        <w:t xml:space="preserve">Master Scenario Events List (MSEL)</w:t>
      </w:r>
    </w:p>
    <w:p>
      <w:pPr>
        <w:spacing w:after="120" w:before="0" w:line="276"/>
      </w:pPr>
      <w:r>
        <w:rPr>
          <w:rFonts w:ascii="Calibri" w:cs="Calibri" w:eastAsia="Calibri" w:hAnsi="Calibri"/>
          <w:color w:val="404040"/>
          <w:sz w:val="21"/>
          <w:szCs w:val="21"/>
        </w:rPr>
        <w:t xml:space="preserve">Deliver injects at the indicated times, verbally or as printed artifacts. Timings assume a 2.5-hour delivery; compress or extend to fit the agreed schedule.</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1: Health Advisory Issued</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Your HR director forwards the health authority advisory: “20–40% workforce reduction over 4–6 weeks. Recommend remote work where possible, enhanced cleaning protocols, and contingency planning for essential functions.” Three employees have already called in sick today with symptoms consistent with the illness.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Public Health Advisory — Excerpt</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[CUSTOMIZE: REGIONAL HEALTH AUTHORITY] — GUIDANCE NOTICE [CUSTOMIZE: reference number]</w:t>
            </w:r>
          </w:p>
          <w:p>
            <w:pPr>
              <w:spacing w:after="60"/>
            </w:pPr>
            <w:r>
              <w:rPr>
                <w:rFonts w:ascii="Consolas" w:cs="Consolas" w:eastAsia="Consolas" w:hAnsi="Consolas"/>
                <w:color w:val="404040"/>
                <w:sz w:val="19"/>
                <w:szCs w:val="19"/>
              </w:rPr>
              <w:t xml:space="preserve">Issued: [CUSTOMIZE: date] — for distribution to employers in [CUSTOMIZE: region]</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SUBJECT: Workforce contingency guidance — novel respiratory illness</w:t>
            </w: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Case counts in [CUSTOMIZE: region] have risen sharply over the past 14 days. The illness is highly contagious, with a 2–3 day incubation period and severe symptoms typically lasting 7–14 days.</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Employers are advised to:</w:t>
            </w:r>
          </w:p>
          <w:p>
            <w:pPr>
              <w:spacing w:after="60"/>
            </w:pPr>
            <w:r>
              <w:rPr>
                <w:rFonts w:ascii="Consolas" w:cs="Consolas" w:eastAsia="Consolas" w:hAnsi="Consolas"/>
                <w:color w:val="404040"/>
                <w:sz w:val="19"/>
                <w:szCs w:val="19"/>
              </w:rPr>
              <w:t xml:space="preserve">1. Minimize in-person gatherings and enable remote work where possible;</w:t>
            </w:r>
          </w:p>
          <w:p>
            <w:pPr>
              <w:spacing w:after="60"/>
            </w:pPr>
            <w:r>
              <w:rPr>
                <w:rFonts w:ascii="Consolas" w:cs="Consolas" w:eastAsia="Consolas" w:hAnsi="Consolas"/>
                <w:color w:val="404040"/>
                <w:sz w:val="19"/>
                <w:szCs w:val="19"/>
              </w:rPr>
              <w:t xml:space="preserve">2. Implement enhanced cleaning protocols for shared workspaces;</w:t>
            </w:r>
          </w:p>
          <w:p>
            <w:pPr>
              <w:spacing w:after="60"/>
            </w:pPr>
            <w:r>
              <w:rPr>
                <w:rFonts w:ascii="Consolas" w:cs="Consolas" w:eastAsia="Consolas" w:hAnsi="Consolas"/>
                <w:color w:val="404040"/>
                <w:sz w:val="19"/>
                <w:szCs w:val="19"/>
              </w:rPr>
              <w:t xml:space="preserve">3. Prepare contingency plans for workforce reductions of 20–40% over the next 4–6 weeks;</w:t>
            </w:r>
          </w:p>
          <w:p>
            <w:pPr>
              <w:spacing w:after="60"/>
            </w:pPr>
            <w:r>
              <w:rPr>
                <w:rFonts w:ascii="Consolas" w:cs="Consolas" w:eastAsia="Consolas" w:hAnsi="Consolas"/>
                <w:color w:val="404040"/>
                <w:sz w:val="19"/>
                <w:szCs w:val="19"/>
              </w:rPr>
              <w:t xml:space="preserve">4. Instruct symptomatic staff to remain at home and follow current isolation guidance.</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Further guidance will be issued as the situation develops. This notice is advisory and does not currently carry the force of an order.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2: Employee Questions Surge</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Within hours, HR is fielding questions from multiple employees: Can I work from home? What if my child’s school closes? Am I required to come in? What if I have a pre-existing condition? Will I be paid if I’m quarantined? What are we doing to make the office safe? One manager asks: “Do we have the legal right to require employees to stay home if they’re symptomatic?”</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3: Essential Functions Assessment</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COO asks each department head to answer: “If you lose 30% of your team for 3 weeks, which functions can continue, which degrade, and which stop entirely?” The initial assessment reveals that [CUSTOMIZE: 2–3 critical functions] cannot operate remotely and have no cross-trained backup staff.</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1</w:t>
            </w:r>
          </w:p>
          <w:p>
            <w:pPr>
              <w:spacing w:after="40" w:before="0" w:line="276"/>
            </w:pPr>
            <w:r>
              <w:rPr>
                <w:rFonts w:ascii="Calibri" w:cs="Calibri" w:eastAsia="Calibri" w:hAnsi="Calibri"/>
                <w:color w:val="404040"/>
                <w:sz w:val="20"/>
                <w:szCs w:val="20"/>
              </w:rPr>
              <w:t xml:space="preserve">Listen for: whether remote work capability is a tested reality or an assumption; who actually decides which functions are essential — and whether department heads would agree; whether legal obligations to fearful or vulnerable employees are known or guessed at. Document every critical function with no remote option and no cross-trained backup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4: Two Weeks In: 25% Workforce Reduction</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Two weeks have passed. Absenteeism is running at 25%. Several key employees are out, including [CUSTOMIZE: a critical role from intake Section 3]. Remote work is functioning for some teams but [CUSTOMIZE: IT infrastructure is strained / VPN capacity is maxed / certain systems don’t work remotely]. Client deliverables are slipping. Revenue is declining. Costs for enhanced cleaning, PPE, and temporary staffing are mounting. The HR director’s weekly status email lands in every leader’s inbox:</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Internal Email — HR Director to Leadership Team</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From:</w:t>
            </w:r>
            <w:r>
              <w:rPr>
                <w:rFonts w:ascii="Consolas" w:cs="Consolas" w:eastAsia="Consolas" w:hAnsi="Consolas"/>
                <w:color w:val="404040"/>
                <w:sz w:val="19"/>
                <w:szCs w:val="19"/>
              </w:rPr>
              <w:t xml:space="preserve"> [CUSTOMIZE: HR Director name]</w:t>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To:</w:t>
            </w:r>
            <w:r>
              <w:rPr>
                <w:rFonts w:ascii="Consolas" w:cs="Consolas" w:eastAsia="Consolas" w:hAnsi="Consolas"/>
                <w:color w:val="404040"/>
                <w:sz w:val="19"/>
                <w:szCs w:val="19"/>
              </w:rPr>
              <w:t xml:space="preserve"> Leadership Team</w:t>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Subject:</w:t>
            </w:r>
            <w:r>
              <w:rPr>
                <w:rFonts w:ascii="Consolas" w:cs="Consolas" w:eastAsia="Consolas" w:hAnsi="Consolas"/>
                <w:color w:val="404040"/>
                <w:sz w:val="19"/>
                <w:szCs w:val="19"/>
              </w:rPr>
              <w:t xml:space="preserve"> Week 2 status — absence rate and employee concerns</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Team,</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Absence summary: [CUSTOMIZE: 25%] of staff out today ([CUSTOMIZE: number] employees). The rolling 7-day trend is upward. [CUSTOMIZE: critical role from intake Section 3] is among those out, with no confirmed return date.</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Themes from employee questions this week ([CUSTOMIZE: number] contacts logged):</w:t>
            </w:r>
          </w:p>
          <w:p>
            <w:pPr>
              <w:spacing w:after="60"/>
            </w:pPr>
            <w:r>
              <w:rPr>
                <w:rFonts w:ascii="Consolas" w:cs="Consolas" w:eastAsia="Consolas" w:hAnsi="Consolas"/>
                <w:color w:val="404040"/>
                <w:sz w:val="19"/>
                <w:szCs w:val="19"/>
              </w:rPr>
              <w:t xml:space="preserve">1. Pay during quarantine — our current policy does not answer this clearly.</w:t>
            </w:r>
          </w:p>
          <w:p>
            <w:pPr>
              <w:spacing w:after="60"/>
            </w:pPr>
            <w:r>
              <w:rPr>
                <w:rFonts w:ascii="Consolas" w:cs="Consolas" w:eastAsia="Consolas" w:hAnsi="Consolas"/>
                <w:color w:val="404040"/>
                <w:sz w:val="19"/>
                <w:szCs w:val="19"/>
              </w:rPr>
              <w:t xml:space="preserve">2. Childcare conflicts as school closures spread.</w:t>
            </w:r>
          </w:p>
          <w:p>
            <w:pPr>
              <w:spacing w:after="60"/>
            </w:pPr>
            <w:r>
              <w:rPr>
                <w:rFonts w:ascii="Consolas" w:cs="Consolas" w:eastAsia="Consolas" w:hAnsi="Consolas"/>
                <w:color w:val="404040"/>
                <w:sz w:val="19"/>
                <w:szCs w:val="19"/>
              </w:rPr>
              <w:t xml:space="preserve">3. Safety measures for roles that cannot work remotely.</w:t>
            </w:r>
          </w:p>
          <w:p>
            <w:pPr>
              <w:spacing w:after="60"/>
            </w:pPr>
            <w:r>
              <w:rPr>
                <w:rFonts w:ascii="Consolas" w:cs="Consolas" w:eastAsia="Consolas" w:hAnsi="Consolas"/>
                <w:color w:val="404040"/>
                <w:sz w:val="19"/>
                <w:szCs w:val="19"/>
              </w:rPr>
              <w:t xml:space="preserve">4. Several employees with pre-existing conditions have requested accommodation in writing.</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Two managers have asked whether they may send visibly symptomatic staff home. I need a policy answer, not case-by-case improvisation.</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[CUSTOMIZE: HR Director name]</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5: Supply Chain Impact</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[CUSTOMIZE: primary supplier / critical vendor] notifies you that their operations are also affected. Lead times are extending from [CUSTOMIZE: X days to Y days]. They cannot guarantee fulfillment of your current orders. A secondary supplier exists but has a 6–8 week onboarding process and higher pricing. The CFO estimates the supply chain disruption will cost an additional $[CUSTOMIZE: amount] per week.</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6: Employee Health Dilemma</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An employee in a critical role comes to work visibly symptomatic, saying: “I can’t afford to miss more days. I need to be here.” Their manager asks HR and leadership: “What do I do? We need this person but they’re putting others at risk. And honestly, if I send them home, I don’t know who covers their work.”</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2</w:t>
            </w:r>
          </w:p>
          <w:p>
            <w:pPr>
              <w:spacing w:after="40" w:before="0" w:line="276"/>
            </w:pPr>
            <w:r>
              <w:rPr>
                <w:rFonts w:ascii="Calibri" w:cs="Calibri" w:eastAsia="Calibri" w:hAnsi="Calibri"/>
                <w:color w:val="404040"/>
                <w:sz w:val="20"/>
                <w:szCs w:val="20"/>
              </w:rPr>
              <w:t xml:space="preserve">Listen for: whether the symptomatic-employee dilemma is answered with policy or improvisation — and who owns the call; what leverage and alternatives actually exist with suppliers, and whether anyone has spoken to the secondary supplier before needing them; whether anyone can state the financial runway in weeks rather than adjectives. Document missing attendance and pay policies, and single-source supply dependencies, as findings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7: The Peak Passes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It is now 6 weeks since the initial advisory. Absenteeism has peaked and is declining. Most affected employees have recovered and are returning. However, the organization has accumulated [CUSTOMIZE: delayed deliverables, strained client relationships, financial losses, employee burnout, supply chain backlog]. Two employees have resigned, citing the organization’s handling of the situation.</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8: The Next Wave</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Health authorities warn that a second wave is likely in 3–4 months. The COO asks: “We barely survived the first wave. What are we going to do differently for the second one?”</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3</w:t>
            </w:r>
          </w:p>
          <w:p>
            <w:pPr>
              <w:spacing w:after="40" w:before="0" w:line="276"/>
            </w:pPr>
            <w:r>
              <w:rPr>
                <w:rFonts w:ascii="Calibri" w:cs="Calibri" w:eastAsia="Calibri" w:hAnsi="Calibri"/>
                <w:color w:val="404040"/>
                <w:sz w:val="20"/>
                <w:szCs w:val="20"/>
              </w:rPr>
              <w:t xml:space="preserve">Listen for: a concrete second-wave plan — cross-training, documented procedures, supplier alternatives, expanded remote capability — with owners and dates, rather than relief that it’s over; serious engagement with the two resignations as a signal about communication and trust during the response; willingness to make permanent operating-model changes. Document remote-access infrastructure limits (capacity, systems that cannot be reached remotely) and every unowned preparation action as findings for the AAR.</w:t>
            </w:r>
          </w:p>
        </w:tc>
      </w:tr>
    </w:tbl>
    <w:p>
      <w:pPr>
        <w:pStyle w:val="Heading2"/>
        <w:keepNext/>
        <w:spacing w:after="110" w:before="240"/>
      </w:pPr>
      <w:r>
        <w:rPr>
          <w:rFonts w:ascii="Calibri" w:cs="Calibri" w:eastAsia="Calibri" w:hAnsi="Calibri"/>
          <w:b/>
          <w:bCs/>
          <w:color w:val="2E74B5"/>
          <w:sz w:val="25"/>
          <w:szCs w:val="25"/>
        </w:rPr>
        <w:t xml:space="preserve">MSEL Summary</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700"/>
        <w:gridCol w:w="760"/>
        <w:gridCol w:w="900"/>
        <w:gridCol w:w="1060"/>
        <w:gridCol w:w="3140"/>
        <w:gridCol w:w="2800"/>
      </w:tblGrid>
      <w:tr>
        <w:trPr>
          <w:tblHeader/>
        </w:trPr>
        <w:tc>
          <w:tcPr>
            <w:tcW w:type="dxa" w:w="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Inject</w:t>
            </w:r>
          </w:p>
        </w:tc>
        <w:tc>
          <w:tcPr>
            <w:tcW w:type="dxa" w:w="7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w:t>
            </w:r>
          </w:p>
        </w:tc>
        <w:tc>
          <w:tcPr>
            <w:tcW w:type="dxa" w:w="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Module</w:t>
            </w:r>
          </w:p>
        </w:tc>
        <w:tc>
          <w:tcPr>
            <w:tcW w:type="dxa" w:w="10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Method</w:t>
            </w:r>
          </w:p>
        </w:tc>
        <w:tc>
          <w:tcPr>
            <w:tcW w:type="dxa" w:w="314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 Summary</w:t>
            </w:r>
          </w:p>
        </w:tc>
        <w:tc>
          <w:tcPr>
            <w:tcW w:type="dxa" w:w="2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Expected Discussion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+0:00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Health advisory: 20–40% workforce reduction expected</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Policy activation, initial planning</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+0:10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Employee questions flood HR</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Employment law, remote work, safety obligations</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Essential functions assessment: what breaks at 30%</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Prioritization, cross-training gaps</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+0:40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Two weeks in: 25% out, systems strained, HR status email</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Sustained operations, degraded service</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+0:55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Supply chain disrupted: lead times extended</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management, alternative sourcing</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Symptomatic employee dilemma</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Health vs. operations, policy enforcement</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+1:30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Peak passes: accumulated damage assessment</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Recovery prioritization, relationship repair</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+1:45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Next wave warning: 3–4 months away</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Preparation planning, permanent changes</w:t>
            </w:r>
          </w:p>
        </w:tc>
      </w:tr>
    </w:tbl>
    <w:p>
      <w:r>
        <w:br w:type="page"/>
      </w:r>
    </w:p>
    <w:p>
      <w:pPr>
        <w:pStyle w:val="Heading1"/>
        <w:keepNext/>
        <w:spacing w:after="140" w:before="320"/>
      </w:pPr>
      <w:r>
        <w:rPr>
          <w:rFonts w:ascii="Calibri" w:cs="Calibri" w:eastAsia="Calibri" w:hAnsi="Calibri"/>
          <w:b/>
          <w:bCs/>
          <w:color w:val="1F3864"/>
          <w:sz w:val="30"/>
          <w:szCs w:val="30"/>
        </w:rPr>
        <w:t xml:space="preserve">Facilitator Notes</w:t>
      </w:r>
    </w:p>
    <w:p>
      <w:pPr>
        <w:pStyle w:val="Heading2"/>
        <w:keepNext/>
        <w:spacing w:after="110" w:before="240"/>
      </w:pPr>
      <w:r>
        <w:rPr>
          <w:rFonts w:ascii="Calibri" w:cs="Calibri" w:eastAsia="Calibri" w:hAnsi="Calibri"/>
          <w:b/>
          <w:bCs/>
          <w:color w:val="2E74B5"/>
          <w:sz w:val="25"/>
          <w:szCs w:val="25"/>
        </w:rPr>
        <w:t xml:space="preserve">Framing Reminders</w:t>
      </w:r>
    </w:p>
    <w:p>
      <w:pPr>
        <w:pStyle w:val="ListParagraph"/>
        <w:numPr>
          <w:ilvl w:val="0"/>
          <w:numId w:val="2"/>
        </w:numPr>
        <w:spacing w:after="80" w:line="276"/>
      </w:pPr>
      <w:r>
        <w:rPr>
          <w:rFonts w:ascii="Calibri" w:cs="Calibri" w:eastAsia="Calibri" w:hAnsi="Calibri"/>
          <w:color w:val="404040"/>
          <w:sz w:val="21"/>
          <w:szCs w:val="21"/>
        </w:rPr>
        <w:t xml:space="preserve">This is a discussion-based business response exercise, not a technical response exercise. The objective is decision-making, communication, and coordination under uncertainty — not root-cause analysis, forensics, or technical troubleshooting.</w:t>
      </w:r>
    </w:p>
    <w:p>
      <w:pPr>
        <w:pStyle w:val="ListParagraph"/>
        <w:numPr>
          <w:ilvl w:val="0"/>
          <w:numId w:val="2"/>
        </w:numPr>
        <w:spacing w:after="80" w:line="276"/>
      </w:pPr>
      <w:r>
        <w:rPr>
          <w:rFonts w:ascii="Calibri" w:cs="Calibri" w:eastAsia="Calibri" w:hAnsi="Calibri"/>
          <w:color w:val="404040"/>
          <w:sz w:val="21"/>
          <w:szCs w:val="21"/>
        </w:rPr>
        <w:t xml:space="preserve">When discussion drifts into technical detail (VPN sizing, system architecture, epidemiology), acknowledge the technical question, then redirect: “Given you don’t have an immediate answer to that technical question, what do you do next?” The exercise tests what the business does while the technical answer is unavailable.</w:t>
      </w:r>
    </w:p>
    <w:p>
      <w:pPr>
        <w:pStyle w:val="ListParagraph"/>
        <w:numPr>
          <w:ilvl w:val="0"/>
          <w:numId w:val="2"/>
        </w:numPr>
        <w:spacing w:after="80" w:line="276"/>
      </w:pPr>
      <w:r>
        <w:rPr>
          <w:rFonts w:ascii="Calibri" w:cs="Calibri" w:eastAsia="Calibri" w:hAnsi="Calibri"/>
          <w:color w:val="404040"/>
          <w:sz w:val="21"/>
          <w:szCs w:val="21"/>
        </w:rPr>
        <w:t xml:space="preserve">Do not supply answers. Where the room cannot answer a question, the gap is the finding — document it for the After-Action Report (AAR) rather than resolving it in the moment.</w:t>
      </w:r>
    </w:p>
    <w:p>
      <w:pPr>
        <w:pStyle w:val="ListParagraph"/>
        <w:numPr>
          <w:ilvl w:val="0"/>
          <w:numId w:val="2"/>
        </w:numPr>
        <w:spacing w:after="80" w:line="276"/>
      </w:pPr>
      <w:r>
        <w:rPr>
          <w:rFonts w:ascii="Calibri" w:cs="Calibri" w:eastAsia="Calibri" w:hAnsi="Calibri"/>
          <w:color w:val="404040"/>
          <w:sz w:val="21"/>
          <w:szCs w:val="21"/>
        </w:rPr>
        <w:t xml:space="preserve">Keep modules to their timebox. Park unresolved threads visibly and return to them in the hot wash if time allows.</w:t>
      </w:r>
    </w:p>
    <w:p>
      <w:pPr>
        <w:pStyle w:val="Heading2"/>
        <w:keepNext/>
        <w:spacing w:after="110" w:before="240"/>
      </w:pPr>
      <w:r>
        <w:rPr>
          <w:rFonts w:ascii="Calibri" w:cs="Calibri" w:eastAsia="Calibri" w:hAnsi="Calibri"/>
          <w:b/>
          <w:bCs/>
          <w:color w:val="2E74B5"/>
          <w:sz w:val="25"/>
          <w:szCs w:val="25"/>
        </w:rPr>
        <w:t xml:space="preserve">Sensitivity Guidance</w:t>
      </w:r>
    </w:p>
    <w:p>
      <w:pPr>
        <w:spacing w:after="120" w:before="0" w:line="276"/>
      </w:pPr>
      <w:r>
        <w:rPr>
          <w:rFonts w:ascii="Calibri" w:cs="Calibri" w:eastAsia="Calibri" w:hAnsi="Calibri"/>
          <w:color w:val="404040"/>
          <w:sz w:val="21"/>
          <w:szCs w:val="21"/>
        </w:rPr>
        <w:t xml:space="preserve">Many participants will have personal experience with pandemic disruptions. Acknowledge this at the beginning: “We all have recent experience with this type of disruption. Today’s exercise is designed to test our specific organizational preparedness, not to revisit personal experiences. The scenario is fictional but informed by real-world challenges.” Avoid comparisons to specific recent pandemics unless participants raise them.</w:t>
      </w:r>
    </w:p>
    <w:p>
      <w:pPr>
        <w:pStyle w:val="Heading2"/>
        <w:keepNext/>
        <w:spacing w:after="110" w:before="240"/>
      </w:pPr>
      <w:r>
        <w:rPr>
          <w:rFonts w:ascii="Calibri" w:cs="Calibri" w:eastAsia="Calibri" w:hAnsi="Calibri"/>
          <w:b/>
          <w:bCs/>
          <w:color w:val="2E74B5"/>
          <w:sz w:val="25"/>
          <w:szCs w:val="25"/>
        </w:rPr>
        <w:t xml:space="preserve">Common Participant Responses and Probe Questions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500"/>
        <w:gridCol w:w="5860"/>
      </w:tblGrid>
      <w:tr>
        <w:trPr>
          <w:tblHeader/>
        </w:trPr>
        <w:tc>
          <w:tcPr>
            <w:tcW w:type="dxa" w:w="35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If Participants...</w:t>
            </w:r>
          </w:p>
        </w:tc>
        <w:tc>
          <w:tcPr>
            <w:tcW w:type="dxa" w:w="5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Probe With...</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 already went through this, we know what to do”</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“Excellent. Then walk me through your plan. Who makes the essential-vs-non-essential determination? Where is it documented? Has it been updated since the last disruption? What changed?”</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“Everyone can work from home”</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“All [X]% of your workforce? What about shipping, facilities, customer-facing roles? What about the employee who doesn’t have reliable internet at home? What about the systems that don’t have remote access?”</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Don’t address the symptomatic employee dilemma</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“An employee in a critical role shows up visibly sick because they can’t afford to miss work. What do you do? Who makes that call? What policy guides it? What if you don’t have a policy?”</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“Our supply chain is diversified”</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“Your primary supplier just told you lead times are doubling. Your secondary supplier has a 6–8 week onboarding period. How diversified are you really? For which inputs do you have a single source of supply?”</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Skip the employee resignation discussion</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“Two employees resigned citing how the organization handled the disruption. What does that tell you about employee perception? About retention risk? About your communication during the crisis?”</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 just need a better remote work setup”</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“Remote work solves part of the problem. What about cross-training so critical functions don’t stop when specific people are out? What about documentation so institutional knowledge isn’t in one person’s head? What about supply chain alternatives?”</w:t>
            </w:r>
          </w:p>
        </w:tc>
      </w:tr>
    </w:tbl>
    <w:p>
      <w:pPr>
        <w:pStyle w:val="Heading1"/>
        <w:keepNext/>
        <w:spacing w:after="140" w:before="320"/>
      </w:pPr>
      <w:r>
        <w:rPr>
          <w:rFonts w:ascii="Calibri" w:cs="Calibri" w:eastAsia="Calibri" w:hAnsi="Calibri"/>
          <w:b/>
          <w:bCs/>
          <w:color w:val="1F3864"/>
          <w:sz w:val="30"/>
          <w:szCs w:val="30"/>
        </w:rPr>
        <w:t xml:space="preserve">Customization Checklist</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3100"/>
        <w:gridCol w:w="38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Default</w:t>
            </w:r>
          </w:p>
        </w:tc>
        <w:tc>
          <w:tcPr>
            <w:tcW w:type="dxa" w:w="3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Customize To</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Organization name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[ORGANIZATION NAME]</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legal name from the Client Intake Packet</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Illness characteristics</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Respiratory, highly contagious, low mortality, 7–14 day symptoms</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Keep generic — avoid naming specific diseases</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Remote work capability</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Limited</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capability from intake</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Essential functions</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3–4 functions that require on-premises</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Based on intake Section 2</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Supply chain exposure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 critical supplier affected</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vendor dependency from intake Section 4</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Employee count</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50–200</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headcount</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Financial impact per week</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$20,000–$75,000</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Scale to client size</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Critical absent role (Inject 4)</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Unnamed key employee</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Critical role identified in intake Section 3</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 — Before Delivery</w:t>
            </w:r>
          </w:p>
          <w:p>
            <w:pPr>
              <w:spacing w:after="40" w:before="0" w:line="276"/>
            </w:pPr>
            <w:r>
              <w:rPr>
                <w:rFonts w:ascii="Calibri" w:cs="Calibri" w:eastAsia="Calibri" w:hAnsi="Calibri"/>
                <w:color w:val="404040"/>
                <w:sz w:val="20"/>
                <w:szCs w:val="20"/>
              </w:rPr>
              <w:t xml:space="preserve">Replace every [CUSTOMIZE] tag in the narrative and artifacts with client-specific detail from the Client Intake Packet. Verify internal consistency and plausibility. The scenario summary goes to the client for approval via Pre-Exercise Forms (02 - Contract folder), Form A.</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 Regulatory Reference Disclaimer</w:t>
            </w:r>
          </w:p>
          <w:p>
            <w:pPr>
              <w:spacing w:after="40" w:before="0" w:line="276"/>
            </w:pPr>
            <w:r>
              <w:rPr>
                <w:rFonts w:ascii="Calibri" w:cs="Calibri" w:eastAsia="Calibri" w:hAnsi="Calibri"/>
                <w:color w:val="404040"/>
                <w:sz w:val="20"/>
                <w:szCs w:val="20"/>
              </w:rPr>
              <w:t xml:space="preserve">Regulatory requirements, notification timelines, and compliance obligations referenced in this scenario are illustrative and based on information available at the time of scenario development (July 2026). They should not be relied upon as current legal guidance. Regulations, notification timelines, enforcement interpretations, and jurisdictional requirements change. Participants and clients should consult qualified legal counsel for current regulatory requirements applicable to their specific jurisdiction, industry, and circumstances.</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GS-8 Pandemic Disruption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2026-07-14T20:01:41.747Z</dcterms:created>
  <dcterms:modified xsi:type="dcterms:W3CDTF">2026-07-14T20:01:41.747Z</dcterms:modified>
</cp:coreProperties>
</file>

<file path=docProps/custom.xml><?xml version="1.0" encoding="utf-8"?>
<Properties xmlns="http://schemas.openxmlformats.org/officeDocument/2006/custom-properties" xmlns:vt="http://schemas.openxmlformats.org/officeDocument/2006/docPropsVTypes"/>
</file>